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BbgKWahlV (Brandenburg) — Stimmzettel, Wahlurnen</w:t>
      </w:r>
    </w:p>
    <w:p>
      <w:r>
        <w:rPr>
          <w:color w:val="555555"/>
          <w:sz w:val="18"/>
        </w:rPr>
        <w:t xml:space="preserve">Brandenburgische Kommunalwahlverordnung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Farben der Stimmzettel für die Kommunalwahlen müssen sich deutlich von der weißen oder weißlichen Farbe der Stimmzettel für die Bundestags- oder Europawahl unterscheiden. § 100 Absatz 3 Satz 3 gilt entsprechend.</w:t>
      </w:r>
    </w:p>
    <w:p>
      <w:r>
        <w:t xml:space="preserve">(2) Die Wahlurnen müssen mit einem deutlichen Hinweis versehen sein, für welche Wahl sie jeweils gelten.</w:t>
      </w:r>
    </w:p>
    <w:p>
      <w:r>
        <w:rPr>
          <w:color w:val="555555"/>
          <w:sz w:val="17"/>
        </w:rPr>
        <w:t xml:space="preserve">Zitiervorschlag: § 101 BbgKWahlV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https://recht.nulegal.eu/gesetze/BbgKWahlV/101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