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BbgKWahlG (Brandenburg) — Sachliche Voraussetzungen der Wahlberechtigung</w:t>
      </w:r>
    </w:p>
    <w:p>
      <w:r>
        <w:rPr>
          <w:color w:val="555555"/>
          <w:sz w:val="18"/>
        </w:rPr>
        <w:t xml:space="preserve">Brandenburgisches Kommunalwahlgesetz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Wahlberechtigt ist, wer am Wahltag</w:t>
      </w:r>
    </w:p>
    <w:p>
      <w:r>
        <w:t xml:space="preserve">Deutsche oder Deutscher im Sinne des Artikels 116 Absatz 1 des Grundgesetzes ist (Deutsche oder Deutscher) oder die Staatsangehörigkeit eines anderen Mitgliedstaates der Europäischen Union besitzt (Unionsbürgerin oder Unionsbürger),</w:t>
      </w:r>
    </w:p>
    <w:p>
      <w:r>
        <w:t xml:space="preserve">das 16. Lebensjahr vollendet hat,</w:t>
      </w:r>
    </w:p>
    <w:p>
      <w:r>
        <w:t xml:space="preserve">im Wahlgebiet</w:t>
      </w:r>
    </w:p>
    <w:p>
      <w:r>
        <w:t xml:space="preserve">den ständigen Wohnsitz hat oder</w:t>
      </w:r>
    </w:p>
    <w:p>
      <w:r>
        <w:t xml:space="preserve">sich sonst gewöhnlich aufhält und keine Wohnung in der Bundesrepublik Deutschland hat</w:t>
      </w:r>
    </w:p>
    <w:p>
      <w:r>
        <w:t xml:space="preserve">sowie</w:t>
      </w:r>
    </w:p>
    <w:p>
      <w:r>
        <w:t xml:space="preserve">nicht nach § 9 vom Wahlrecht ausgeschlossen ist.</w:t>
      </w:r>
    </w:p>
    <w:p>
      <w:r>
        <w:t xml:space="preserve">Bei Inhaberinnen und Inhabern von Hauptwohnungen und Nebenwohnungen wird der ständige Wohnsitz am Ort der melderechtlichen Hauptwohnung vermutet.</w:t>
      </w:r>
    </w:p>
    <w:p>
      <w:r>
        <w:rPr>
          <w:color w:val="555555"/>
          <w:sz w:val="17"/>
        </w:rPr>
        <w:t xml:space="preserve">Zitiervorschlag: § 8 BbgKWahlG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https://recht.nulegal.eu/gesetze/BbgKWahlG/8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