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71 BbgKWahlG (Brandenburg) — Tod von Bewerbenden</w:t>
      </w:r>
    </w:p>
    <w:p>
      <w:r>
        <w:rPr>
          <w:color w:val="555555"/>
          <w:sz w:val="18"/>
        </w:rPr>
        <w:t xml:space="preserve">Brandenburgisches Kommunalwahlgesetz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Stirbt eine Bewerbende oder ein Bewerbender nach der Zulassung des Wahlvorschlages, aber vor der Wahl, so findet die Wahl nicht statt; die Wahl wird zu einem Termin nachgeholt, der innerhalb einer Frist von zwei Monaten nach dem Tag der ausgefallenen Wahl liegen soll; den Wahltermin bestimmt die Aufsichtsbehörde.</w:t>
      </w:r>
    </w:p>
    <w:p>
      <w:r>
        <w:t xml:space="preserve">(2) Im Falle der Benennung einer oder eines neuen Bewerbenden an Stelle der oder des verstorbenen Bewerbenden ist das Verfahren nach § 33 einzuhalten; der Unterstützungsunterschriften nach § 70 Absatz 5 bedarf es nicht.</w:t>
      </w:r>
    </w:p>
    <w:p>
      <w:r>
        <w:rPr>
          <w:color w:val="555555"/>
          <w:sz w:val="17"/>
        </w:rPr>
        <w:t xml:space="preserve">Zitiervorschlag: § 71 BbgKWahlG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https://recht.nulegal.eu/gesetze/BbgKWahlG/71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