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BbgKWahlG (Brandenburg) — Wahlschein</w:t>
      </w:r>
    </w:p>
    <w:p>
      <w:r>
        <w:rPr>
          <w:color w:val="555555"/>
          <w:sz w:val="18"/>
        </w:rPr>
        <w:t xml:space="preserve">Brandenburgisches Kommunalwahlgesetz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Wahlberechtigte Personen, die</w:t>
      </w:r>
    </w:p>
    <w:p>
      <w:r>
        <w:t xml:space="preserve">erst für die Stichwahl wahlberechtigt sind oder</w:t>
      </w:r>
    </w:p>
    <w:p>
      <w:r>
        <w:t xml:space="preserve">nicht in das Wahlberechtigtenverzeichnis eingetragen sind und bereits für die erste Wahl einen Wahlschein bekommen haben,</w:t>
      </w:r>
    </w:p>
    <w:p>
      <w:r>
        <w:t xml:space="preserve">erhalten nach Maßgabe der Kommunalwahlverordnung von Amts wegen einen Wahlschein für die Stichwahl.</w:t>
      </w:r>
    </w:p>
    <w:p>
      <w:r>
        <w:rPr>
          <w:color w:val="555555"/>
          <w:sz w:val="17"/>
        </w:rPr>
        <w:t xml:space="preserve">Zitiervorschlag: § 68 BbgKWahlG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https://recht.nulegal.eu/gesetze/BbgKWahlG/68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