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BbgKWahlG (Brandenburg) — Wahlsystem</w:t>
      </w:r>
    </w:p>
    <w:p>
      <w:r>
        <w:rPr>
          <w:color w:val="555555"/>
          <w:sz w:val="18"/>
        </w:rPr>
        <w:t xml:space="preserve">Brandenburgisches Kommunalwahlgesetz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Vertreterinnen und Vertreter werden nach den Grundsätzen einer mit der Personenwahl verbundenen Verhältniswahl gewählt. Wird nur ein Wahlvorschlag oder werden ausschließlich Einzelwahlvorschläge zugelassen, ist nach den Grundsätzen der Mehrheits- und Persönlichkeitswahl zu wählen; das Wahlgebiet bildet einen Wahlkreis.</w:t>
      </w:r>
    </w:p>
    <w:p>
      <w:r>
        <w:t xml:space="preserve">(2) Jede wahlberechtigte Person hat zu den Wahlen der Gemeindevertretungen, der Stadtverordnetenversammlungen und der Kreistage je drei Stimmen.</w:t>
      </w:r>
    </w:p>
    <w:p>
      <w:r>
        <w:t xml:space="preserve">(3) Die wählende Person kann einer oder einem Bewerbenden bis zu drei Stimmen geben. Sie kann ihre Stimmen auch Bewerbenden verschiedener Wahlvorschläge geben.</w:t>
      </w:r>
    </w:p>
    <w:p>
      <w:r>
        <w:rPr>
          <w:color w:val="555555"/>
          <w:sz w:val="17"/>
        </w:rPr>
        <w:t xml:space="preserve">Zitiervorschlag: § 5 BbgKWahlG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