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BbgKWahlG (Brandenburg) — Geltungsbereich</w:t>
      </w:r>
    </w:p>
    <w:p>
      <w:r>
        <w:rPr>
          <w:color w:val="555555"/>
          <w:sz w:val="18"/>
        </w:rPr>
        <w:t xml:space="preserve">Brandenburgisches Kommunalwahlgesetz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gilt für die unmittelbaren Wahlen</w:t>
      </w:r>
    </w:p>
    <w:p>
      <w:r>
        <w:t xml:space="preserve">der Gemeindevertretungen in den Gemeinden,</w:t>
      </w:r>
    </w:p>
    <w:p>
      <w:r>
        <w:t xml:space="preserve">der Stadtverordnetenversammlungen in den kreisangehörigen und kreisfreien Städten,</w:t>
      </w:r>
    </w:p>
    <w:p>
      <w:r>
        <w:t xml:space="preserve">der Kreistage in den Landkreisen,</w:t>
      </w:r>
    </w:p>
    <w:p>
      <w:r>
        <w:t xml:space="preserve">der Bürgermeisterinnen und Bürgermeister in den kreisangehörigen Städten und Gemeinden,</w:t>
      </w:r>
    </w:p>
    <w:p>
      <w:r>
        <w:t xml:space="preserve">der Oberbürgermeisterinnen und Oberbürgermeister in den kreisfreien Städten,</w:t>
      </w:r>
    </w:p>
    <w:p>
      <w:r>
        <w:t xml:space="preserve">der Landrätinnen und Landräte in den Landkreisen und</w:t>
      </w:r>
    </w:p>
    <w:p>
      <w:r>
        <w:t xml:space="preserve">der Ortsbeiräte sowie Ortsvorsteherinnen und Ortsvorsteher.</w:t>
      </w:r>
    </w:p>
    <w:p>
      <w:r>
        <w:rPr>
          <w:color w:val="555555"/>
          <w:sz w:val="17"/>
        </w:rPr>
        <w:t xml:space="preserve">Zitiervorschlag: § 1 BbgKWahlG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