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BbgKVerf (Brandenburg) — Vertretung der Gemeinde in rechtlich selbstständigen Unternehmen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Hauptverwaltungsbeamtin oder der Hauptverwaltungsbeamte vertritt die Gemeinde in der Gesellschafterversammlung oder in dem der Gesellschafterversammlung entsprechenden Organ eines Unternehmens mit eigener Rechtspersönlichkeit. Sie oder er kann eine Bedienstete oder einen Bediensteten der Gemeinde mit der Wahrnehmung dieser Aufgabe dauerhaft betrauen. Ist die Hauptverwaltungsbeamtin oder der Hauptverwaltungsbeamte verhindert, erfolgt die Vertretung durch die allgemeine Stellvertretung, wenn sie oder er nicht eine andere Bedienstete oder einen anderen Bediensteten benennt. Ist die betraute Person verhindert, nimmt die Hauptverwaltungsbeamtin oder der Hauptverwaltungsbeamte die Vertretung wahr, wenn sie oder er die Verhinderungsvertretung der betrauten Person nicht auf eine andere Bedienstete oder einen anderen Bediensteten dauerhaft übertragen hat.</w:t>
      </w:r>
    </w:p>
    <w:p>
      <w:r>
        <w:t xml:space="preserve">(2) Weitere Vertreterinnen und Vertreter der Gemeinde in der Gesellschafterversammlung oder in dem der Gesellschafterversammlung entsprechenden Organ dürfen nur in Ausnahmefällen bestimmt werden. Sie werden gemäß den §§ 40 und 41 für die Dauer der Wahlperiode aus der Mitte der Gemeindevertretung bestimmt und üben ihr Amt bis zum Amtsantritt der neuen Mitglieder aus. Für sie gilt § 12 Absatz 1 des Brandenburgischen Kommunalwahlgesetzes entsprechend.</w:t>
      </w:r>
    </w:p>
    <w:p>
      <w:r>
        <w:t xml:space="preserve">(3) Die Gemeindevertretung kann den Vertreterinnen und Vertretern der Gemeinde in der Gesellschafterversammlung oder in dem der Gesellschafterversammlung entsprechenden Organ Richtlinien und Weisungen erteilen.</w:t>
      </w:r>
    </w:p>
    <w:p>
      <w:r>
        <w:t xml:space="preserve">(4) Absatz 1 Satz 1 und 2 sowie Absatz 2 Satz 2 und 3 gelten für den Aufsichtsrat oder ein vergleichbares Organ entsprechend. Die weiteren Mitglieder des Aufsichtsrates können auch Bedienstete der Gemeinde oder sachkundige Dritte sein.</w:t>
      </w:r>
    </w:p>
    <w:p>
      <w:r>
        <w:t xml:space="preserve">(5) Soweit Bedienstete der Gemeinde bestimmt werden, soll die für das Finanzwesen oder die für den betroffenen Fachbereich zuständige Person berücksichtigt werden.</w:t>
      </w:r>
    </w:p>
    <w:p>
      <w:r>
        <w:t xml:space="preserve">(6) Die Mitglieder des Aufsichtsrates sollen über die zur ordnungsgemäßen Wahrnehmung der Aufgaben erforderlichen Kenntnisse, Fähigkeiten und fachliche Eignung verfügen. Sofern dies nicht der Fall ist, soll die Gemeinde für die erforderliche Qualifizierung Sorge tragen.</w:t>
      </w:r>
    </w:p>
    <w:p>
      <w:r>
        <w:t xml:space="preserve">(7) Im Gesellschaftsvertrag ist zu regeln, dass der Beteiligungsverwaltung gemäß § 98 ein aktives Teilnahmerecht entsprechend § 30 Absatz 3 Satz 1 bei den Aufsichtsratssitzungen eingeräumt wird, soweit dem nicht im Einzelfall besondere Gründe, die durch Mehrheitsbeschluss des Aufsichtsrates festgestellt werden müssen, entgegenstehen.</w:t>
      </w:r>
    </w:p>
    <w:p>
      <w:r>
        <w:t xml:space="preserve">(8) Werden Vertreterinnen oder Vertreter der Gemeinde aus ihrer Tätigkeit haftbar gemacht, so hat ihnen die Gemeinde den Schaden zu ersetzen, es sei denn, dass sie ihn vorsätzlich oder grob fahrlässig herbeigeführt haben. Auch in diesem Fall ist die Gemeinde schadensersatzpflichtig, wenn die Vertreterinnen oder Vertreter auf Weisung gehandelt haben.</w:t>
      </w:r>
    </w:p>
    <w:p>
      <w:r>
        <w:t xml:space="preserve">(9) Die Vertreterinnen und Vertreter der Gemeinde haben die Hauptverwaltungsbeamtin oder den Hauptverwaltungsbeamten über alle Angelegenheiten von besonderer Bedeutung frühzeitig zu unterrichten. Der Hauptausschuss beziehungsweise die Gemeindevertretung kann von der Hauptverwaltungsbeamtin oder dem Hauptverwaltungsbeamten jederzeit Auskunft verlangen. § 29 und § 54 Absatz 2 bleiben unberührt. Die Unterrichtungspflicht und das Auskunftsrecht bestehen nur, soweit durch Gesetz nichts anderes bestimmt ist.</w:t>
      </w:r>
    </w:p>
    <w:p>
      <w:r>
        <w:t xml:space="preserve">(10) Vergütungen aus einer Tätigkeit als Vertreterin oder Vertreter der Gemeinde in Unternehmen sind an die Gemeinde abzuführen, soweit sie über das Maß einer angemessenen Aufwandsentschädigung hinausgehen. Die angemessene Höhe soll in der Hauptsatzung oder in einer gesonderten Satzung bestimmt werden.</w:t>
      </w:r>
    </w:p>
    <w:p>
      <w:r>
        <w:rPr>
          <w:color w:val="555555"/>
          <w:sz w:val="17"/>
        </w:rPr>
        <w:t xml:space="preserve">Zitiervorschlag: § 97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