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86 BbgKVerf (Brandenburg) — Vermögensgegenstände</w:t>
      </w:r>
    </w:p>
    <w:p>
      <w:r>
        <w:rPr>
          <w:color w:val="555555"/>
          <w:sz w:val="18"/>
        </w:rPr>
        <w:t xml:space="preserve">Brandenburgische Kommunalverfassung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Gemeinde soll Vermögensgegenstände nur erwerben, soweit dies zur Erfüllung ihrer Aufgaben erforderlich ist oder wird.</w:t>
      </w:r>
    </w:p>
    <w:p>
      <w:r>
        <w:t xml:space="preserve">(2) Die Vermögensgegenstände sind nachzuweisen. Sie sind, soweit sie zu bilanzieren sind, mit den Anschaffungs- oder Herstellungskosten, vermindert um Abschreibungen, anzusetzen.</w:t>
      </w:r>
    </w:p>
    <w:p>
      <w:r>
        <w:rPr>
          <w:color w:val="555555"/>
          <w:sz w:val="17"/>
        </w:rPr>
        <w:t xml:space="preserve">Zitiervorschlag: § 86 BbgKVerf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https://recht.nulegal.eu/gesetze/BbgKVerf/86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