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BbgKVerf (Brandenburg) — Rücklagen, Rückstellungen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 hat Überschüsse der Ergebnisrechnung den Rücklagen zuzuführen, soweit nicht Fehlbeträge aus Vorjahren auszugleichen sind.</w:t>
      </w:r>
    </w:p>
    <w:p>
      <w:r>
        <w:t xml:space="preserve">(2) Die Gemeinde hat Rückstellungen in erforderlicher Höhe zu bilden.</w:t>
      </w:r>
    </w:p>
    <w:p>
      <w:r>
        <w:rPr>
          <w:color w:val="555555"/>
          <w:sz w:val="17"/>
        </w:rPr>
        <w:t xml:space="preserve">Zitiervorschlag: § 79 BbgKVerf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https://recht.nulegal.eu/gesetze/BbgKVerf/79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