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BbgKVerf (Brandenburg) — Mittelfristiger Ergebnis- und Finanzplan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hat ihrer Haushaltswirtschaft einen fünfjährigen Ergebnis- und Finanzplan zugrunde zu legen und in den Haushaltsplan einzubeziehen; dies gilt auch für die Teilhaushalte.</w:t>
      </w:r>
    </w:p>
    <w:p>
      <w:r>
        <w:t xml:space="preserve">(2) Der mittelfristige Ergebnis- und Finanzplan soll in den einzelnen Jahren ausgeglichen sein.</w:t>
      </w:r>
    </w:p>
    <w:p>
      <w:r>
        <w:t xml:space="preserve">(3) Es ist eine Übersicht zu erstellen, in der die geplanten Ein- und Auszahlungen für Investitionen und Investitionsförderungsmaßnahmen im Finanzplanungszeitraum gemäß Absatz 1 dargestellt werden.</w:t>
      </w:r>
    </w:p>
    <w:p>
      <w:r>
        <w:rPr>
          <w:color w:val="555555"/>
          <w:sz w:val="17"/>
        </w:rPr>
        <w:t xml:space="preserve">Zitiervorschlag: § 74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