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BbgKVerf (Brandenburg) — Vorläufige Haushaltsführung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die Haushaltssatzung bei Beginn des Haushaltsjahres noch nicht bekannt gemacht, so darf die Gemeinde</w:t>
      </w:r>
    </w:p>
    <w:p>
      <w:r>
        <w:t xml:space="preserve">Aufwendungen und Auszahlungen leisten, zu deren Leistung sie rechtlich verpflichtet ist oder die für die Weiterführung notwendiger Aufgaben unaufschiebbar sind,</w:t>
      </w:r>
    </w:p>
    <w:p>
      <w:r>
        <w:t xml:space="preserve">Investitionsmaßnahmen, für die im Haushaltsplan eines Vorjahres Haushaltsansätze oder Verpflichtungsermächtigungen vorgesehen waren, fortsetzen,</w:t>
      </w:r>
    </w:p>
    <w:p>
      <w:r>
        <w:t xml:space="preserve">neue Investitionsmaßnahmen beginnen, wenn sie für die Erfüllung pflichtiger Aufgaben unabweisbar und unaufschiebbar sind,</w:t>
      </w:r>
    </w:p>
    <w:p>
      <w:r>
        <w:t xml:space="preserve">Steuern, für die die Haushaltssatzung Rechtsgrundlage ist, nach den Sätzen des Vorjahres erheben und</w:t>
      </w:r>
    </w:p>
    <w:p>
      <w:r>
        <w:t xml:space="preserve">Kredite umschulden.</w:t>
      </w:r>
    </w:p>
    <w:p>
      <w:r>
        <w:t xml:space="preserve">(2) Reichen die Deckungsmittel für die Investitionsmaßnahmen nach Absatz 1 Nummer 2 und 3 nicht aus, so darf die Gemeinde Kredite für Investitionen und Investitionsförderungsmaßnahmen aufnehmen. Die einzelne Kreditaufnahme bedarf der Genehmigung durch die Kommunalaufsichtsbehörde in Form einer Einzelgenehmigung. § 76 Absatz 2 Satz 3 bis 5 gilt entsprechend.</w:t>
      </w:r>
    </w:p>
    <w:p>
      <w:r>
        <w:t xml:space="preserve">(3) Während der vorläufigen Haushaltsführung gilt der letzte wirksame Stellenplan weiter.</w:t>
      </w:r>
    </w:p>
    <w:p>
      <w:r>
        <w:rPr>
          <w:color w:val="555555"/>
          <w:sz w:val="17"/>
        </w:rPr>
        <w:t xml:space="preserve">Zitiervorschlag: § 71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