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BbgKVerf (Brandenburg) — Kämmerin, Kämmerer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Aufstellung des Haushaltsplans, des mittelfristigen Ergebnis- und Finanzplans, die Haushaltsüberwachung, die Verwaltung des Geldvermögens und der Schulden sowie die Aufstellung des Jahresabschlusses und des Gesamtabschlusses sind bei einer oder einem Bediensteten (Kämmerin oder Kämmerer) zusammenzufassen.</w:t>
      </w:r>
    </w:p>
    <w:p>
      <w:r>
        <w:t xml:space="preserve">(2) Die Funktionstrennung zwischen der Kämmerin oder dem Kämmerer und der Hauptverwaltungsbeamtin oder dem Hauptverwaltungsbeamten ist zu gewährleisten.</w:t>
      </w:r>
    </w:p>
    <w:p>
      <w:r>
        <w:rPr>
          <w:color w:val="555555"/>
          <w:sz w:val="17"/>
        </w:rPr>
        <w:t xml:space="preserve">Zitiervorschlag: § 64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https://recht.nulegal.eu/gesetze/BbgKVerf/64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