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BbgKVerf (Brandenburg) — Erträge und Einzahlungen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erhebt Abgaben nach den gesetzlichen Vorschriften.</w:t>
      </w:r>
    </w:p>
    <w:p>
      <w:r>
        <w:t xml:space="preserve">(2) Sie hat die zur Erfüllung ihrer Aufgaben erforderlichen Erträge und Einzahlungen,</w:t>
      </w:r>
    </w:p>
    <w:p>
      <w:r>
        <w:t xml:space="preserve">soweit vertretbar und geboten, aus speziellen Entgelten für die von ihr erbrachten Leistungen,</w:t>
      </w:r>
    </w:p>
    <w:p>
      <w:r>
        <w:t xml:space="preserve">im Übrigen aus Steuern,</w:t>
      </w:r>
    </w:p>
    <w:p>
      <w:r>
        <w:t xml:space="preserve">zu erzielen.</w:t>
      </w:r>
    </w:p>
    <w:p>
      <w:r>
        <w:rPr>
          <w:color w:val="555555"/>
          <w:sz w:val="17"/>
        </w:rPr>
        <w:t xml:space="preserve">Zitiervorschlag: § 63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