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BbgKVerf (Brandenburg) — Tagesordnung der Gemeindevertretung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der Gemeindevertretung setzt die Tagesordnung der Gemeindevertretung im Benehmen mit der Hauptverwaltungsbeamtin oder dem Hauptverwaltungsbeamten fest. In die Tagesordnung sind die Beratungsgegenstände aufzunehmen, die innerhalb einer in der Geschäftsordnung zu bestimmenden Frist von mindestens einem Zehntel der gesetzlichen Anzahl der Gemeindevertreterinnen und ‑vertreter oder einer Fraktion oder die von der Hauptverwaltungsbeamtin oder dem Hauptverwaltungsbeamten benannt werden. Die Tagesordnung ist der Ladung zu den Sitzungen beizufügen.</w:t>
      </w:r>
    </w:p>
    <w:p>
      <w:r>
        <w:t xml:space="preserve">(2) Die Tagesordnung kann in der Sitzung durch Beschluss erweitert werden, wenn es sich um eine Angelegenheit handelt, die keinen Aufschub duldet. Ein Verstoß gegen die Öffentlichkeit der Sitzung liegt dann nicht vor. Tagesordnungspunkte dürfen nur mit Zustimmung der Person oder Personengruppe, die die Aufnahme des Tagesordnungspunktes nach Absatz 1 Satz 1 oder 2 veranlasst hat, abgesetzt werden.</w:t>
      </w:r>
    </w:p>
    <w:p>
      <w:r>
        <w:rPr>
          <w:color w:val="555555"/>
          <w:sz w:val="17"/>
        </w:rPr>
        <w:t xml:space="preserve">Zitiervorschlag: § 35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