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BbgKVerf (Brandenburg) — Fraktionen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Fraktionen sind Vereinigungen von Mitgliedern der Gemeindevertretung. Eine Fraktion muss aus mindestens zwei Mitgliedern bestehen. Die hauptamtliche Bürgermeisterin oder der hauptamtliche Bürgermeister kann nicht Mitglied einer Fraktion sein.</w:t>
      </w:r>
    </w:p>
    <w:p>
      <w:r>
        <w:t xml:space="preserve">(2) Die Fraktionen wirken bei der Willensbildung und Entscheidungsfindung in der Gemeindevertretung mit. Sie können insoweit ihre Auffassung öffentlich darstellen. Ihre innere Ordnung muss demokratischen und rechtsstaatlichen Grundsätzen entsprechen.</w:t>
      </w:r>
    </w:p>
    <w:p>
      <w:r>
        <w:t xml:space="preserve">(3) Nähere Einzelheiten über die Bildung der Fraktionen, ihre Rechte und Pflichten regelt die Geschäftsordnung.</w:t>
      </w:r>
    </w:p>
    <w:p>
      <w:r>
        <w:rPr>
          <w:color w:val="555555"/>
          <w:sz w:val="17"/>
        </w:rPr>
        <w:t xml:space="preserve">Zitiervorschlag: § 32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