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BbgKVerf (Brandenburg) — Satzungen,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kann ihre Angelegenheiten durch Satzung regeln, soweit die Gesetze nichts anderes bestimmen. Im Bereich der Pflichtaufgaben zur Erfüllung nach Weisung kann sie Satzungen nur erlassen, wenn dies in einem Gesetz vorgesehen ist.</w:t>
      </w:r>
    </w:p>
    <w:p>
      <w:r>
        <w:t xml:space="preserve">(2) In einer Satzung können vorsätzliche und fahrlässige Zuwiderhandlungen gegen Gebote und Verbote mit Geldbuße bedroht werden. Zuständige Verwaltungsbehörde im Sinne des § 36 Absatz 1 Nummer 1 des Gesetzes über Ordnungswidrigkeiten ist die Hauptverwaltungsbeamtin oder der Hauptverwaltungsbeamte.</w:t>
      </w:r>
    </w:p>
    <w:p>
      <w:r>
        <w:t xml:space="preserve">(3) Satzungen sind von der Hauptverwaltungsbeamtin oder dem Hauptverwaltungsbeamten schriftlich oder durch elektronischen Schriftformersatz zu unterzeichnen und öffentlich bekannt zu machen. Das für Inneres zuständige Mitglied der Landesregierung kann durch Rechtsverordnung bestimmen, welche Verfahrens- und Formvorschriften bei der öffentlichen Bekanntmachung von Satzungen und sonstigen ortsrechtlichen Bestimmungen einzuhalten sind, soweit nicht andere Gesetze besondere Regelungen enthalten.</w:t>
      </w:r>
    </w:p>
    <w:p>
      <w:r>
        <w:t xml:space="preserve">(4) Ist eine Satzung unter Verletzung von landesrechtlichen Verfahrens- oder Formvorschriften zustande gekommen, so ist diese Verletzung unbeachtlich, wenn sie nicht schriftlich oder elektronisch innerhalb eines Jahres seit der öffentlichen Bekanntmachung der Satzung gegenüber der Gemeinde unter der Bezeichnung der verletzten Vorschrift und der Tatsache, die den Mangel ergibt, geltend gemacht worden ist. Dies gilt nicht, wenn die Vorschriften über die Genehmigung der Satzung verletzt worden sind. Satz 1 gilt auch für die Verletzung von landesrechtlichen Verfahrens- oder Formvorschriften über die öffentliche Bekanntmachung, jedoch nur dann, wenn sich die Betroffenen aufgrund der tatsächlich bewirkten Bekanntmachung in zumutbarer Weise verlässlich Kenntnis von dem Satzungsinhalt verschaffen konnten.</w:t>
      </w:r>
    </w:p>
    <w:p>
      <w:r>
        <w:t xml:space="preserve">(5) Eine Satzung tritt, wenn kein anderer Zeitpunkt bestimmt ist, am Tag nach der öffentlichen Bekanntmachung in Kraft.</w:t>
      </w:r>
    </w:p>
    <w:p>
      <w:r>
        <w:t xml:space="preserve">(6) Die Absätze 3 bis 5 gelten entsprechend für den Flächennutzungsplan. Absatz 4 gilt auch entsprechend für Verordnungen der Gemeinden.</w:t>
      </w:r>
    </w:p>
    <w:p>
      <w:r>
        <w:rPr>
          <w:color w:val="555555"/>
          <w:sz w:val="17"/>
        </w:rPr>
        <w:t xml:space="preserve">Zitiervorschlag: § 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