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BbgKVerf (Brandenburg) — Vertretungsverbot</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Ehrenamtlich Tätige, die in der Gemeindevertretung oder in einem beschließenden Ausschuss mitwirken, dürfen in dem Bereich, in dem sie für die Gemeinde Entscheidungen treffen, Dritte berufsmäßig bei der Geltendmachung von Ansprüchen und Interessen gegenüber der Gemeinde nicht vertreten, es sei denn, dass sie als gesetzliche Vertretung handeln.</w:t>
      </w:r>
    </w:p>
    <w:p>
      <w:r>
        <w:t xml:space="preserve">(2) Die Feststellung über das Vorliegen der Voraussetzungen des Absatzes 1 trifft die Gemeindevertretung bei den von der Gemeindevertretung zu ehrenamtlicher Tätigkeit Berufenen, im Übrigen die Hauptverwaltungsbeamtin oder der Hauptverwaltungsbeamte.</w:t>
      </w:r>
    </w:p>
    <w:p>
      <w:r>
        <w:rPr>
          <w:color w:val="555555"/>
          <w:sz w:val="17"/>
        </w:rPr>
        <w:t xml:space="preserve">Zitiervorschlag: § 23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