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BbgKVerf (Brandenburg) — Einschränkung von Grundrechten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§ 31 Absatz 3, § 34 Absatz 2, § 36 Absatz 3 und 4, § 42 Absatz 1 und 3 sowie § 43 Absatz 2 werden das Grundrecht auf informationelle Selbstbestimmung (Artikel 2 Absatz 1 in Verbindung mit Artikel 1 Absatz 1 des Grundgesetzes) und das Grundrecht auf Datenschutz (Artikel 11 Absatz 1 der Verfassung des Landes Brandenburg) eingeschränkt. Durch § 18 Absatz 2 sowie § 23 Absatz 1 wird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141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