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125 BbgKVerf (Brandenburg) — Gebietsänderung</w:t>
      </w:r>
    </w:p>
    <w:p>
      <w:r>
        <w:rPr>
          <w:color w:val="555555"/>
          <w:sz w:val="18"/>
        </w:rPr>
        <w:t xml:space="preserve">Brandenburgische Kommunalverfassung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30.07.2026 (konsolidierte Textfassung, kein amtliches Inkrafttretensdatum)</w:t>
      </w:r>
    </w:p>
    <w:p>
      <w:r>
        <w:t xml:space="preserve">Aus Gründen des öffentlichen Wohls kann das Gebiet eines Landkreises oder einer kreisfreien Stadt nach Maßgabe des § 126 geändert werden. Im Übrigen ist eine gesetzliche Regelung erforderlich.</w:t>
      </w:r>
    </w:p>
    <w:p>
      <w:r>
        <w:rPr>
          <w:color w:val="555555"/>
          <w:sz w:val="17"/>
        </w:rPr>
        <w:t xml:space="preserve">Zitiervorschlag: § 125 BbgKVerf (Brandenburg)</w:t>
      </w:r>
    </w:p>
    <w:p>
      <w:r>
        <w:rPr>
          <w:color w:val="555555"/>
          <w:sz w:val="17"/>
        </w:rPr>
        <w:t xml:space="preserve">Quelle: BRAVORS, abgerufen 29.07.2026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https://recht.nulegal.eu/gesetze/BbgKVerf/125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