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122 BbgKVerf (Brandenburg) — Aufsicht im Bereich der Auftragsangelegenheiten</w:t>
      </w:r>
    </w:p>
    <w:p>
      <w:r>
        <w:rPr>
          <w:color w:val="555555"/>
          <w:sz w:val="18"/>
        </w:rPr>
        <w:t xml:space="preserve">Brandenburgische Kommunalverfassung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Bei Auftragsangelegenheiten werden die Aufsichtsbehörden durch die hierfür geltenden Gesetze oder aufgrund dieser Gesetze bestimmt (Fachaufsicht).</w:t>
      </w:r>
    </w:p>
    <w:p>
      <w:r>
        <w:t xml:space="preserve">(2) Die Fachaufsicht erstreckt sich auf die rechtmäßige und zweckmäßige Wahrnehmung der Aufgaben. Soweit keine andere Festlegung erfolgt, können sich die Fachaufsichtsbehörden in Ausübung der Fachaufsicht nach § 112 unterrichten, fachliche Weisungen erteilen und bei Nichtbefolgung einer Weisung, bei Gefahr im Verzuge oder aufgrund besonderer gesetzlicher Ermächtigung die Befugnisse der zu beaufsichtigenden Stelle selbst auf deren Kosten ausüben.</w:t>
      </w:r>
    </w:p>
    <w:p>
      <w:r>
        <w:rPr>
          <w:color w:val="555555"/>
          <w:sz w:val="17"/>
        </w:rPr>
        <w:t xml:space="preserve">Zitiervorschlag: § 122 BbgKVerf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https://recht.nulegal.eu/gesetze/BbgKVerf/122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