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BbgKVerf (Brandenburg) — Gemeindliche Einrichtungen; Anschluss- und Benutzungszwang</w:t>
      </w:r>
    </w:p>
    <w:p>
      <w:r>
        <w:rPr>
          <w:color w:val="555555"/>
          <w:sz w:val="18"/>
        </w:rPr>
        <w:t xml:space="preserve">Brandenburgische Kommunalverfassung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Jede Person ist im Rahmen des geltenden Rechts berechtigt, die öffentlichen Einrichtungen der Gemeinde zu benutzen.</w:t>
      </w:r>
    </w:p>
    <w:p>
      <w:r>
        <w:t xml:space="preserve">(2) Die Gemeinde kann aus Gründen des öffentlichen Wohls durch Satzung für die Grundstücke ihres Gebietes den Anschluss an öffentliche Einrichtungen (Anschlusszwang) und die Benutzung dieser Einrichtungen (Benutzungszwang) vorschreiben. Dies gilt insbesondere für Einrichtungen der Wasserversorgung, der Abwasserentsorgung, der Abfallbeseitigung, der Straßenreinigung und der Fernwärme. Andere gesetzliche Bestimmungen, die den Anschluss- und Benutzungszwang regeln, bleiben unberührt. Gründe des öffentlichen Wohls können auch Gründe des Schutzes der natürlichen Grundlagen des Lebens einschließlich des Klima- oder Ressourcenschutzes sein.</w:t>
      </w:r>
    </w:p>
    <w:p>
      <w:r>
        <w:t xml:space="preserve">(3) Die Satzung kann vorbehaltlich besonderer gesetzlicher Bestimmungen Ausnahmen vom Anschluss- und Benutzungszwang zulassen. Dies gilt insbesondere, wenn auf Grundstücken Anlagen betrieben werden, die einen höheren Umweltstandard aufweisen als die von der Gemeinde vorgesehene Einrichtung. Die Satzung kann den Zwang auch auf bestimmte Teile des Gemeindegebietes und auf bestimmte Gruppen von Grundstücken beschränken.</w:t>
      </w:r>
    </w:p>
    <w:p>
      <w:r>
        <w:rPr>
          <w:color w:val="555555"/>
          <w:sz w:val="17"/>
        </w:rPr>
        <w:t xml:space="preserve">Zitiervorschlag: § 12 BbgKVerf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https://recht.nulegal.eu/gesetze/BbgKVerf/12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