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115 BbgKVerf (Brandenburg) — Anordnungsrecht</w:t>
      </w:r>
    </w:p>
    <w:p>
      <w:r>
        <w:rPr>
          <w:color w:val="555555"/>
          <w:sz w:val="18"/>
        </w:rPr>
        <w:t xml:space="preserve">Brandenburgische Kommunalverfassung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Erfüllt die Gemeinde ihre rechtlichen Pflichten nicht, kann die Kommunalaufsichtsbehörde anordnen, dass die Gemeinde innerhalb einer angemessenen Frist das Erforderliche veranlasst und durchführt.</w:t>
      </w:r>
    </w:p>
    <w:p>
      <w:r>
        <w:rPr>
          <w:color w:val="555555"/>
          <w:sz w:val="17"/>
        </w:rPr>
        <w:t xml:space="preserve">Zitiervorschlag: § 115 BbgKVerf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https://recht.nulegal.eu/gesetze/BbgKVerf/115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