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113 BbgKVerf (Brandenburg) — Beanstandungsrecht</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Kommunalaufsichtsbehörde kann rechtswidrige Beschlüsse und Maßnahmen der Gemeinde beanstanden und verlangen, dass sie innerhalb einer angemessenen Frist aufgehoben werden. Sie kann ferner verlangen, dass das aufgrund derartiger Beschlüsse oder Maßnahmen Veranlasste innerhalb einer angemessenen Frist rückgängig gemacht wird. Die beanstandeten Beschlüsse und Maßnahmen dürfen nicht ausgeführt werden.</w:t>
      </w:r>
    </w:p>
    <w:p>
      <w:r>
        <w:t xml:space="preserve">(2) Die Kommunalaufsichtsbehörde kann vor einer Beanstandung anordnen, dass ein Beschluss oder eine Maßnahme der Gemeinde bis zur Ermittlung des Sachverhaltes, längstens jedoch zwei Monate ausgesetzt wird (einstweilige Beanstandung).</w:t>
      </w:r>
    </w:p>
    <w:p>
      <w:r>
        <w:rPr>
          <w:color w:val="555555"/>
          <w:sz w:val="17"/>
        </w:rPr>
        <w:t xml:space="preserve">Zitiervorschlag: § 113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https://recht.nulegal.eu/gesetze/BbgKVerf/113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