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BbgKVerf (Brandenburg) — Anzeige- und Genehmigungspflichten</w:t>
      </w:r>
    </w:p>
    <w:p>
      <w:r>
        <w:rPr>
          <w:color w:val="555555"/>
          <w:sz w:val="18"/>
        </w:rPr>
        <w:t xml:space="preserve">Brandenburgische Kommunalverfassung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Entscheidungen der Gemeinde über</w:t>
      </w:r>
    </w:p>
    <w:p>
      <w:r>
        <w:t xml:space="preserve">die Gründung oder Übernahme eines Unternehmens in privater Rechtsform nach § 92 Absatz 2 Nummer 3 und 4 sowie die wesentliche Erweiterung des Gegenstandes eines solchen Unternehmens oder einer kommunalen Anstalt, soweit keine Genehmigungspflicht nach Absatz 2 besteht, und</w:t>
      </w:r>
    </w:p>
    <w:p>
      <w:r>
        <w:t xml:space="preserve">die Umwandlung eines Unternehmens in eine andere Rechtsform</w:t>
      </w:r>
    </w:p>
    <w:p>
      <w:r>
        <w:t xml:space="preserve">sind der Kommunalaufsichtsbehörde unter Nachweis der gesetzlichen Voraussetzungen anzuzeigen.</w:t>
      </w:r>
    </w:p>
    <w:p>
      <w:r>
        <w:t xml:space="preserve">(2) Einer Genehmigung durch die Kommunalaufsichtsbehörde bedürfen Entscheidungen der Gemeinde über</w:t>
      </w:r>
    </w:p>
    <w:p>
      <w:r>
        <w:t xml:space="preserve">die Errichtung einer kommunalen Anstalt,</w:t>
      </w:r>
    </w:p>
    <w:p>
      <w:r>
        <w:t xml:space="preserve">die Umwandlung eines kommunalen Unternehmens in eine kommunale Anstalt und</w:t>
      </w:r>
    </w:p>
    <w:p>
      <w:r>
        <w:t xml:space="preserve">die Änderung der Anstaltssatzung, soweit der Bestand der übertragenen pflichtigen Selbstverwaltungsaufgaben, Pflichtaufgaben zur Erfüllung nach Weisung oder Auftragsangelegenheiten verändert wird.</w:t>
      </w:r>
    </w:p>
    <w:p>
      <w:r>
        <w:rPr>
          <w:color w:val="555555"/>
          <w:sz w:val="17"/>
        </w:rPr>
        <w:t xml:space="preserve">Zitiervorschlag: § 100 BbgKVerf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https://recht.nulegal.eu/gesetze/BbgKVerf/100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