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23a BbgKPHG (Brandenburg) — Einschränkung von Grundrechten</w:t>
      </w:r>
    </w:p>
    <w:p>
      <w:r>
        <w:rPr>
          <w:color w:val="555555"/>
          <w:sz w:val="18"/>
        </w:rPr>
        <w:t xml:space="preserve">Brandenburgisches Krankenpflegehilfegesetz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Durch dieses Gesetz werden das Grundrecht auf informationelle Selbstbestimmung (Artikel 2 Absatz 1 in Verbindung mit Artikel 1 Absatz 1 des Grundgesetzes), das Grundrecht auf Datenschutz (Artikel 11 Absatz 1 der Verfassung des Landes Brandenburg) und das Grundrecht der Berufsfreiheit (Artikel 49 Absatz 1 der Verfassung des Landes Brandenburg) eingeschränkt.</w:t>
      </w:r>
    </w:p>
    <w:p>
      <w:r>
        <w:rPr>
          <w:color w:val="555555"/>
          <w:sz w:val="17"/>
        </w:rPr>
        <w:t xml:space="preserve">Zitiervorschlag: § 23a BbgKPHG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https://recht.nulegal.eu/gesetze/BbgKPHG/23a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