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BbgKPHG (Brandenburg) — Weitergeltung staatlicher Anerkennung von Schulen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Schulen entsprechend § 4 Abs. 2 Satz 2, die vor In-Kraft-Treten dieses Gesetzes aufgrund des Krankenpflegegesetzes vom 4. Juni 1985 (BGBl. I S. 893), zuletzt geändert durch Artikel 20 des Gesetzes vom 27. April 2002 (BGBl. I S. 1467, 1474), die staatliche Anerkennung erhalten haben, gelten weiterhin als staatlich anerkannt nach § 4 Abs. 2 und 3, sofern die Anerkennung nicht zurückgenommen wird. Die Anerkennung ist zurückzunehmen, falls das Vorliegen der Voraussetzungen nach § 4 Abs. 3 Nr. 1 und 2 nicht innerhalb von drei Jahren nach dem In-Kraft-Treten dieses Gesetzes nachgewiesen wird.</w:t>
      </w:r>
    </w:p>
    <w:p>
      <w:r>
        <w:t xml:space="preserve">(2) Die Voraussetzungen des § 4 Abs. 3 Nr. 1 und 2 gelten als erfüllt, wenn als Schulleitung oder als Lehrkräfte Personen eingesetzt werden, die bei In-Kraft-Treten dieses Gesetzes</w:t>
      </w:r>
    </w:p>
    <w:p>
      <w:r>
        <w:t xml:space="preserve">eine Schule leiten oder als Lehrkräfte an einer Schule unterrichten,</w:t>
      </w:r>
    </w:p>
    <w:p>
      <w:r>
        <w:t xml:space="preserve">die für die in Nummer 1 genannten Tätigkeiten nach dem Krankenpflegegesetz vom 4. Juni 1985 (BGBl. I S. 893), zuletzt geändert durch Artikel 20 des Gesetzes vom 27. April 2002 (BGBl. I S. 1467, 1474), erforderlichen Voraussetzungen erfüllen und nicht als Schulleitung oder als Lehrkräfte erwerbstätig sind oder</w:t>
      </w:r>
    </w:p>
    <w:p>
      <w:r>
        <w:t xml:space="preserve">an einer für die in Nummer 1 genannten Tätigkeiten nach dem in Nummer 2 genannten Gesetz erforderlichen Weiterbildung teilnehmen und diese erfolgreich abschließen.</w:t>
      </w:r>
    </w:p>
    <w:p>
      <w:r>
        <w:rPr>
          <w:color w:val="555555"/>
          <w:sz w:val="17"/>
        </w:rPr>
        <w:t xml:space="preserve">Zitiervorschlag: § 23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