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BbgKPHG (Brandenburg) — Ordnungswidrigkeiten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</w:t>
      </w:r>
    </w:p>
    <w:p>
      <w:r>
        <w:t xml:space="preserve">ohne Erlaubnis nach § 1 Absatz 1 die Berufsbezeichnung „Gesundheits- und Krankenpflegehelferin“ oder „Gesundheits- und Krankenpflegehelfer“ führt,</w:t>
      </w:r>
    </w:p>
    <w:p>
      <w:r>
        <w:t xml:space="preserve">entgegen § 1 Absatz 3 seiner Meldepflicht nicht nachkommt oder</w:t>
      </w:r>
    </w:p>
    <w:p>
      <w:r>
        <w:t xml:space="preserve">entgegen § 22 Abs. 2 die Berufsbezeichnung „Krankenpflegehelferin“ oder „Krankenpflegehelfer“ führt.</w:t>
      </w:r>
    </w:p>
    <w:p>
      <w:r>
        <w:t xml:space="preserve">(2) Die Ordnungswidrigkeit kann mit einer Geldbuße bis zu 2 000 Euro geahndet werden.</w:t>
      </w:r>
    </w:p>
    <w:p>
      <w:r>
        <w:rPr>
          <w:color w:val="555555"/>
          <w:sz w:val="17"/>
        </w:rPr>
        <w:t xml:space="preserve">Zitiervorschlag: § 20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