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BbgKPBauV (Brandenburg) — Gleichwertigkeit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Bauprodukte, Bauarten und Prüfverfahren, die den in</w:t>
      </w:r>
    </w:p>
    <w:p>
      <w:r>
        <w:t xml:space="preserve">Vorschriften anderer Vertragsstaaten des Abkommens über den</w:t>
      </w:r>
    </w:p>
    <w:p>
      <w:r>
        <w:t xml:space="preserve">Europäischen Wirtschaftsraum genannten technischen Anforderungen</w:t>
      </w:r>
    </w:p>
    <w:p>
      <w:r>
        <w:t xml:space="preserve">entsprechen, dürfen verwendet werden, wenn das geforderte Schutzniveau in</w:t>
      </w:r>
    </w:p>
    <w:p>
      <w:r>
        <w:t xml:space="preserve">Bezug auf Sicherheit, Gesundheit und Gebrauchstauglichkeit gleichermaßen</w:t>
      </w:r>
    </w:p>
    <w:p>
      <w:r>
        <w:t xml:space="preserve">dauerhaft erreicht und die Verwendbarkeit nachgewiesen wird.</w:t>
      </w:r>
    </w:p>
    <w:p>
      <w:r>
        <w:rPr>
          <w:color w:val="555555"/>
          <w:sz w:val="17"/>
        </w:rPr>
        <w:t xml:space="preserve">Zitiervorschlag: § 21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