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BbgKPBauV (Brandenburg) — Anwendung auf bestehende Krankenhäuser und Pflegeheime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Auf die zum Zeitpunkt des In-Kraft-Tretens dieser</w:t>
      </w:r>
    </w:p>
    <w:p>
      <w:r>
        <w:t xml:space="preserve">Verordnung bestehenden Krankenhäuser und Pflegeheime sind die</w:t>
      </w:r>
    </w:p>
    <w:p>
      <w:r>
        <w:t xml:space="preserve">Betriebsvorschriften (§§ 16 und 17) und die Vorschriften über</w:t>
      </w:r>
    </w:p>
    <w:p>
      <w:r>
        <w:t xml:space="preserve">Prüfungen (§ 19) dieser Verordnung entsprechend anzuwenden.</w:t>
      </w:r>
    </w:p>
    <w:p>
      <w:r>
        <w:t xml:space="preserve">(2) Bestehende Krankenhäuser und Pflegeheime sind bis zum</w:t>
      </w:r>
    </w:p>
    <w:p>
      <w:r>
        <w:t xml:space="preserve">31. Dezember 2005 so nachzurüsten, dass sie den Anforderungen des</w:t>
      </w:r>
    </w:p>
    <w:p>
      <w:r>
        <w:t xml:space="preserve">§ 14 entsprechen.</w:t>
      </w:r>
    </w:p>
    <w:p>
      <w:r>
        <w:t xml:space="preserve">Auf eine Nachrüstung</w:t>
      </w:r>
    </w:p>
    <w:p>
      <w:r>
        <w:t xml:space="preserve">bestehender Aufzüge gemäß § 14 Abs. 4 kann verzichtet werden, wenn diese mit</w:t>
      </w:r>
    </w:p>
    <w:p>
      <w:r>
        <w:t xml:space="preserve">unverhältnismäßig hohem technischen Aufwand und unverhältnismäßig hohen Kosten</w:t>
      </w:r>
    </w:p>
    <w:p>
      <w:r>
        <w:t xml:space="preserve">verbunden ist und der Betreiber in seiner Brandschutzordnung nach § 17</w:t>
      </w:r>
    </w:p>
    <w:p>
      <w:r>
        <w:t xml:space="preserve">betriebliche Maßnahmen festgelegt hat, mit denen die Schutzziele einer</w:t>
      </w:r>
    </w:p>
    <w:p>
      <w:r>
        <w:t xml:space="preserve">Brandfallsteuerung des Aufzuges auf andere Weise erreicht werden können.</w:t>
      </w:r>
    </w:p>
    <w:p>
      <w:r>
        <w:rPr>
          <w:color w:val="555555"/>
          <w:sz w:val="17"/>
        </w:rPr>
        <w:t xml:space="preserve">Zitiervorschlag: § 20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