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BbgKPBauV (Brandenburg) — Geltungsbereich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gilt für den Bau und den Betrieb von</w:t>
      </w:r>
    </w:p>
    <w:p>
      <w:r>
        <w:t xml:space="preserve">Krankenhäusern und Pflegeheimen. Sie gilt nicht für Tageskliniken und</w:t>
      </w:r>
    </w:p>
    <w:p>
      <w:r>
        <w:t xml:space="preserve">Praxen.</w:t>
      </w:r>
    </w:p>
    <w:p>
      <w:r>
        <w:rPr>
          <w:color w:val="555555"/>
          <w:sz w:val="17"/>
        </w:rPr>
        <w:t xml:space="preserve">Zitiervorschlag: § 1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