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BbgKOG (Brandenburg) — Luftkurort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Artbezeichnung als Luftkurort setzt neben der Erfüllung der Anforderungen gemäß § 2 Abs. 1 voraus:</w:t>
      </w:r>
    </w:p>
    <w:p>
      <w:r>
        <w:t xml:space="preserve">ein therapeutisch anwendbares Klima und eine entsprechende Luftqualität,</w:t>
      </w:r>
    </w:p>
    <w:p>
      <w:r>
        <w:t xml:space="preserve">geeignete Einrichtungen zur Durchführung einer Klimakur,</w:t>
      </w:r>
    </w:p>
    <w:p>
      <w:r>
        <w:t xml:space="preserve">mit dem therapeutisch anwendbaren Klima vertraute Fachkräfte in angemessener Entfernung,</w:t>
      </w:r>
    </w:p>
    <w:p>
      <w:r>
        <w:t xml:space="preserve">gekennzeichnete Rad- und Wanderwege,</w:t>
      </w:r>
    </w:p>
    <w:p>
      <w:r>
        <w:t xml:space="preserve">nutzbare Freiflächen für Sport, Spiel, Freizeit und Erholung und</w:t>
      </w:r>
    </w:p>
    <w:p>
      <w:r>
        <w:t xml:space="preserve">ein Frei- oder Hallenbad in angemessener Entfernung.</w:t>
      </w:r>
    </w:p>
    <w:p>
      <w:r>
        <w:rPr>
          <w:color w:val="555555"/>
          <w:sz w:val="17"/>
        </w:rPr>
        <w:t xml:space="preserve">Zitiervorschlag: § 8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