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BbgKOG (Brandenburg) — Kneipp-Kurort</w:t>
      </w:r>
    </w:p>
    <w:p>
      <w:r>
        <w:rPr>
          <w:color w:val="555555"/>
          <w:sz w:val="18"/>
        </w:rPr>
        <w:t xml:space="preserve">Brandenburgisches Kurortegesetz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Artbezeichnung als Kneipp-Kurort setzt neben der Erfüllung der Anforderungen gemäß § 2 voraus:</w:t>
      </w:r>
    </w:p>
    <w:p>
      <w:r>
        <w:t xml:space="preserve">vollständige Kureinrichtungen zur Durchführung einer artgemäßen Kneipptherapie in mehreren Kneipp-Kurbetrieben,</w:t>
      </w:r>
    </w:p>
    <w:p>
      <w:r>
        <w:t xml:space="preserve">ein therapeutisch anwendbares Klima und eine entsprechende Luftqualität,</w:t>
      </w:r>
    </w:p>
    <w:p>
      <w:r>
        <w:t xml:space="preserve">Betreuung durch Personen mit der Erlaubnis zur Führung einer staatlich anerkannten Berufsbezeichnung in der Physiotherapie und</w:t>
      </w:r>
    </w:p>
    <w:p>
      <w:r>
        <w:t xml:space="preserve">das Vorhandensein eines Kurparkes oder geeigneter Grünflächen für den Kurbetrieb sowie eines Frei- und Hallenbades in angemessener Entfernung.</w:t>
      </w:r>
    </w:p>
    <w:p>
      <w:r>
        <w:rPr>
          <w:color w:val="555555"/>
          <w:sz w:val="17"/>
        </w:rPr>
        <w:t xml:space="preserve">Zitiervorschlag: § 6 BbgKOG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https://recht.nulegal.eu/gesetze/BbgKOG/6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