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BbgKOG (Brandenburg) — Kneipp-Heilbad</w:t>
      </w:r>
    </w:p>
    <w:p>
      <w:r>
        <w:rPr>
          <w:color w:val="555555"/>
          <w:sz w:val="18"/>
        </w:rPr>
        <w:t xml:space="preserve">Brandenburgisches Kurortegesetz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Artbezeichnung als Kneipp-Heilbad setzt neben der Erfüllung der Anforderungen gemäß § 2 voraus:</w:t>
      </w:r>
    </w:p>
    <w:p>
      <w:r>
        <w:t xml:space="preserve">die zehnjährige unbeanstandete Durchführung einer artgemäßen Kneipptherapie in mehreren Kneipp-Sanatorien, einem Kurhotel, Kurheimen oder Kurpensionen,</w:t>
      </w:r>
    </w:p>
    <w:p>
      <w:r>
        <w:t xml:space="preserve">ein therapeutisch anwendbares Klima und eine entsprechende Luftqualität,</w:t>
      </w:r>
    </w:p>
    <w:p>
      <w:r>
        <w:t xml:space="preserve">das Vorhandensein von Wassertretstellen und Armbadeanlagen, auch im Freien,</w:t>
      </w:r>
    </w:p>
    <w:p>
      <w:r>
        <w:t xml:space="preserve">Fachpersonal zur Diätberatung,</w:t>
      </w:r>
    </w:p>
    <w:p>
      <w:r>
        <w:t xml:space="preserve">Betreuung durch Personen mit der Erlaubnis zur Führung einer staatlich anerkannten Berufsbezeichnung in der Physiotherapie und</w:t>
      </w:r>
    </w:p>
    <w:p>
      <w:r>
        <w:t xml:space="preserve">das Vorhandensein eines Kurparkes oder geeigneter Grünflächen für den Kurbetrieb sowie eines Frei- und Hallenbades in angemessener Entfernung.</w:t>
      </w:r>
    </w:p>
    <w:p>
      <w:r>
        <w:rPr>
          <w:color w:val="555555"/>
          <w:sz w:val="17"/>
        </w:rPr>
        <w:t xml:space="preserve">Zitiervorschlag: § 5 BbgKOG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