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BbgKOG (Brandenburg) — Ort mit Heilquellen-, Sole-, Peloid-Kurbetrieb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Ort mit Heilquellen-, Sole-, Peloid-Kurbetrieb setzt neben der Erfüllung der Anforderungen gemäß § 2 voraus:</w:t>
      </w:r>
    </w:p>
    <w:p>
      <w:r>
        <w:t xml:space="preserve">die Verfügbarkeit eines natürlichen Heilmittels des Bodens, das wissenschaftlich anerkannt und durch Erfahrung bewährt ist und</w:t>
      </w:r>
    </w:p>
    <w:p>
      <w:r>
        <w:t xml:space="preserve">zweckmäßige und ausreichende Kureinrichtungen zur Anwendung des Heilmittels, insbesondere ein Kurmittelhaus.</w:t>
      </w:r>
    </w:p>
    <w:p>
      <w:r>
        <w:rPr>
          <w:color w:val="555555"/>
          <w:sz w:val="17"/>
        </w:rPr>
        <w:t xml:space="preserve">Zitiervorschlag: § 4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