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BbgKOG (Brandenburg) — Ordnungswidrigkeiten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</w:t>
      </w:r>
    </w:p>
    <w:p>
      <w:r>
        <w:t xml:space="preserve">entgegen § 12 Abs. 1 eine nicht anerkannte Artbezeichnung verwendet,</w:t>
      </w:r>
    </w:p>
    <w:p>
      <w:r>
        <w:t xml:space="preserve">entgegen § 12 Abs. 4 die allgemeine Bezeichnung Kurort verwendet, ohne dass eine Artbezeichnung nach § 1 Abs. 1 Nr. 1 bis 6 anerkannt ist,</w:t>
      </w:r>
    </w:p>
    <w:p>
      <w:r>
        <w:t xml:space="preserve">entgegen § 12 Abs. 4 die allgemeine Bezeichnung Erholungsort verwendet, ohne dass eine Artbezeichnung nach § 1 Abs. 1 Nr. 7 anerkannt ist,</w:t>
      </w:r>
    </w:p>
    <w:p>
      <w:r>
        <w:t xml:space="preserve">entgegen § 12 Abs. 5 eine andere Bezeichnung verwendet, die geeignet ist, eine Qualifikation nach Art des § 1 Abs. 1 vorzutäuschen.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18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