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BbgKOG (Brandenburg) — Rücknahme und Widerruf der staatlichen Anerkennung</w:t>
      </w:r>
    </w:p>
    <w:p>
      <w:r>
        <w:rPr>
          <w:color w:val="555555"/>
          <w:sz w:val="18"/>
        </w:rPr>
        <w:t xml:space="preserve">Brandenburgisches Kurortegesetz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staatliche Anerkennung kann zurückgenommen werden, wenn zum Zeitpunkt der Anerkennung oder der Überprüfung nach § 13 eine der in §§ 1 bis 9 genannten Voraussetzungen nicht erfüllt war.</w:t>
      </w:r>
    </w:p>
    <w:p>
      <w:r>
        <w:t xml:space="preserve">(2) Das für die Anerkennung zuständige Ministerium kann die staatliche Anerkennung widerrufen, wenn</w:t>
      </w:r>
    </w:p>
    <w:p>
      <w:r>
        <w:t xml:space="preserve">eine ihrer Voraussetzungen nicht nur vorübergehend entfallen ist,</w:t>
      </w:r>
    </w:p>
    <w:p>
      <w:r>
        <w:t xml:space="preserve">eine mit der staatlichen Anerkennung im Sinne des § 11 verbundene Auflage nicht oder nicht innerhalb einer gesetzten Frist erfüllt wurde oder</w:t>
      </w:r>
    </w:p>
    <w:p>
      <w:r>
        <w:t xml:space="preserve">Zweifel bestehen, ob die Anerkennungsvoraussetzungen noch vorliegen und die Gemeinde geforderte Gutachten oder Nachweise innerhalb angemessener Frist nicht vorlegt.</w:t>
      </w:r>
    </w:p>
    <w:p>
      <w:r>
        <w:t xml:space="preserve">(3) Die staatliche Anerkennung ist zu widerrufen, wenn eine wesentliche Voraussetzung für die staatliche Anerkennung nicht nur vorübergehend entfallen ist.</w:t>
      </w:r>
    </w:p>
    <w:p>
      <w:r>
        <w:t xml:space="preserve">(4) Vor der Rücknahme oder dem Widerruf durch das für die staatliche Anerkennung zuständige Ministerium sind die Gemeinde, für deren Gebiet die Artbezeichnung gilt, und der Landesfachbeirat nach § 15 anzuhören. Die Einvernehmensregelung nach § 10 Abs. 1 gilt entsprechend.</w:t>
      </w:r>
    </w:p>
    <w:p>
      <w:r>
        <w:t xml:space="preserve">(5) Kosten, die im Zusammenhang mit nach Absatz 2 Nr. 3 geforderten Gutachten oder Nachweisen entstehen, trägt die Gemeinde.</w:t>
      </w:r>
    </w:p>
    <w:p>
      <w:r>
        <w:rPr>
          <w:color w:val="555555"/>
          <w:sz w:val="17"/>
        </w:rPr>
        <w:t xml:space="preserve">Zitiervorschlag: § 14 BbgKOG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