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BbgKOG (Brandenburg) — Auflagen</w:t>
      </w:r>
    </w:p>
    <w:p>
      <w:r>
        <w:rPr>
          <w:color w:val="555555"/>
          <w:sz w:val="18"/>
        </w:rPr>
        <w:t xml:space="preserve">Brandenburgisches Kurortegesetz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staatliche Anerkennung kann befristet und mit Auflagen verbunden werden.</w:t>
      </w:r>
    </w:p>
    <w:p>
      <w:r>
        <w:t xml:space="preserve">(2) Zur Sicherung des Fortbestandes von Anerkennungsvoraussetzungen kann das zuständige Ministerium Auflagen nachträglich erlassen. Die Einvernehmensregelung nach § 10 Abs. 1 gilt entsprechend.</w:t>
      </w:r>
    </w:p>
    <w:p>
      <w:r>
        <w:rPr>
          <w:color w:val="555555"/>
          <w:sz w:val="17"/>
        </w:rPr>
        <w:t xml:space="preserve">Zitiervorschlag: § 11 BbgKOG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https://recht.nulegal.eu/gesetze/BbgKOG/11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