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BbgKOG (Brandenburg) — Grundsätze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Gemeinden können auf Antrag als Orte mit einer der folgenden Artbezeichnungen staatlich anerkannt werden, wenn sie die in diesem Gesetz geforderten Voraussetzungen erfüllen:</w:t>
      </w:r>
    </w:p>
    <w:p>
      <w:r>
        <w:t xml:space="preserve">Heilbad oder Mineral-, Thermal-, Sole-, Moorheilbad (§ 3),</w:t>
      </w:r>
    </w:p>
    <w:p>
      <w:r>
        <w:t xml:space="preserve">Ort mit Heilquellen-, Sole-, Peloid-Kurbetrieb (§ 4),</w:t>
      </w:r>
    </w:p>
    <w:p>
      <w:r>
        <w:t xml:space="preserve">Kneipp-Heilbad (§ 5),</w:t>
      </w:r>
    </w:p>
    <w:p>
      <w:r>
        <w:t xml:space="preserve">Kneipp-Kurort (§ 6),</w:t>
      </w:r>
    </w:p>
    <w:p>
      <w:r>
        <w:t xml:space="preserve">Heilklimatischer Kurort (§ 7),</w:t>
      </w:r>
    </w:p>
    <w:p>
      <w:r>
        <w:t xml:space="preserve">Luftkurort (§ 8),</w:t>
      </w:r>
    </w:p>
    <w:p>
      <w:r>
        <w:t xml:space="preserve">Erholungsort (§ 9).</w:t>
      </w:r>
    </w:p>
    <w:p>
      <w:r>
        <w:t xml:space="preserve">(2) Die staatliche Anerkennung kann der antragstellenden Gemein de auch erteilt werden, wenn einzelne Voraussetzungen nur zusammen mit einer oder mehreren angrenzenden Gemeinden erfüllt werden.</w:t>
      </w:r>
    </w:p>
    <w:p>
      <w:r>
        <w:t xml:space="preserve">(3) Die staatliche Anerkennung kann auf einen Teil oder mehrere Teile des Gemeindegebietes begrenzt werden.</w:t>
      </w:r>
    </w:p>
    <w:p>
      <w:r>
        <w:t xml:space="preserve">(4) Im Ausnahmefall kann die Anerkennung auf zwei der in Absatz 1 genannten Bezeichnungen erstreckt werden.</w:t>
      </w:r>
    </w:p>
    <w:p>
      <w:r>
        <w:t xml:space="preserve">(5) Für die staatliche Anerkennung mit einer der unter Absatz 1 genannten Artbezeichnung ist es erforderlich, dass die Belange des Ortes hinsichtlich des Schutzes der Umwelt, der landschaftlichen Eigenart sowie des artgemäßen Ortscharakters in der Verkehrs-, Bau- und Bauleitplanung berücksichtigt sind. Der Kur- und Erholungsbereich muss als Sondergebiet entsprechend § 11 der Baunutzungsverordnung ausgewiesen sein. Die Erfordernisse der Raumordnung und Landesplanung sind zu berücksichtigen.</w:t>
      </w:r>
    </w:p>
    <w:p>
      <w:r>
        <w:rPr>
          <w:color w:val="555555"/>
          <w:sz w:val="17"/>
        </w:rPr>
        <w:t xml:space="preserve">Zitiervorschlag: § 1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