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BbgKJG (Brandenburg) — Führung der Pflegschaft und Vormundschaft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Über § 56 Absatz 2 Satz 2 des Achten Buches Sozialgesetzbuch hinaus ist auch im Fall des § 1799 Absatz 1 des Bürgerlichen Gesetzbuches eine Genehmigung der Familiengerichtsbarkeit nicht erforderlich, soweit es sich um den Abschluss eines Mietvertrages handelt.</w:t>
      </w:r>
    </w:p>
    <w:p>
      <w:r>
        <w:rPr>
          <w:color w:val="555555"/>
          <w:sz w:val="17"/>
        </w:rPr>
        <w:t xml:space="preserve">Zitiervorschlag: § 95 BbgKJG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https://recht.nulegal.eu/gesetze/BbgKJG/95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