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BbgKJG (Brandenburg) — Verhältnis zu sonstigen Freistellungen und Benachteiligungsverbot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Anspruch auf Erholungsurlaub oder auf Freistellung von der Arbeit nach anderen gesetzlichen oder vertraglichen Bestimmungen bleibt vom Sonderurlaub nach § 89 unberührt.</w:t>
      </w:r>
    </w:p>
    <w:p>
      <w:r>
        <w:t xml:space="preserve">(2) Personen, die Sonderurlaub nach § 89 erhalten, dürfen daraus in ihrem Arbeitsverhältnis keine Nachteile erwachsen.</w:t>
      </w:r>
    </w:p>
    <w:p>
      <w:r>
        <w:rPr>
          <w:color w:val="555555"/>
          <w:sz w:val="17"/>
        </w:rPr>
        <w:t xml:space="preserve">Zitiervorschlag: § 90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https://recht.nulegal.eu/gesetze/BbgKJG/90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