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59 BbgKJG (Brandenburg) — Überörtliche Jugendhilfeplanung</w:t>
      </w:r>
    </w:p>
    <w:p>
      <w:r>
        <w:rPr>
          <w:color w:val="555555"/>
          <w:sz w:val="18"/>
        </w:rPr>
        <w:t xml:space="preserve">Brandenburgisches Kinder- und Jugendgesetz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Der überörtliche Träger der Jugendhilfe ist zur Jugendhilfeplanung verpflichtet, soweit sich die Planungsgegenstände auf die dort angesiedelten Aufgaben erstreckt. § 58 findet entsprechende Anwendung.</w:t>
      </w:r>
    </w:p>
    <w:p>
      <w:r>
        <w:rPr>
          <w:color w:val="555555"/>
          <w:sz w:val="17"/>
        </w:rPr>
        <w:t xml:space="preserve">Zitiervorschlag: § 59 BbgKJG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https://recht.nulegal.eu/gesetze/BbgKJG/59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