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58 BbgKJG (Brandenburg) — Anspruch und Umsetzung Jugendhilfeplanung</w:t>
      </w:r>
    </w:p>
    <w:p>
      <w:r>
        <w:rPr>
          <w:color w:val="555555"/>
          <w:sz w:val="18"/>
        </w:rPr>
        <w:t xml:space="preserve">Brandenburgisches Kinder- und Jugendgesetz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Alle Träger der Jugendhilfe haben Anspruch darauf, dass der örtliche Träger der öffentlichen Jugendhilfe prüft, ob sie in seine Jugendhilfeplanungen gemäß § 57 aufzunehmen sind. Eine Aufnahme in die Jugendhilfeplanung kann nur abgelehnt werden, wenn ein Träger nachgewiesenermaßen unzuverlässig ist oder wegen § 74 Absatz 1 Satz 1 des Achten Buches Sozialgesetzbuch nicht gefördert werden kann.</w:t>
      </w:r>
    </w:p>
    <w:p>
      <w:r>
        <w:t xml:space="preserve">(2) Bei Entscheidungen der örtlichen Träger der öffentlichen Jugendhilfe, insbesondere nach den §§ 74 bis 77 und § 80 Absatz 2 des Achten Buches Sozialgesetzbuch sollen die Feststellungen der Jugendhilfeplanung Berücksichtigung finden. Ein Anspruch der in der Jugendhilfeplanung aufgenommenen Träger auf eine finanzielle Förderung entsteht nicht.</w:t>
      </w:r>
    </w:p>
    <w:p>
      <w:r>
        <w:t xml:space="preserve">(3) Modellprojekte sollen zu den Feststellungen der Jugendhilfeplanung passen. Sie sind dort vorrangig zu fördern, wo nach der Jugendhilfeplanung eine verbesserte Bedarfsdeckung anzustreben ist.</w:t>
      </w:r>
    </w:p>
    <w:p>
      <w:r>
        <w:rPr>
          <w:color w:val="555555"/>
          <w:sz w:val="17"/>
        </w:rPr>
        <w:t xml:space="preserve">Zitiervorschlag: § 58 BbgKJG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https://recht.nulegal.eu/gesetze/BbgKJG/58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58 BbgKJG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