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BbgKJG (Brandenburg) — Berichterstattung</w:t>
      </w:r>
    </w:p>
    <w:p>
      <w:r>
        <w:rPr>
          <w:color w:val="555555"/>
          <w:sz w:val="18"/>
        </w:rPr>
        <w:t xml:space="preserve">Brandenburgisches Kinder- und Jugendgesetz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Berichterstattung gemäß § 10b Absatz 2 des Achten Buches Sozialgesetzbuch erfolgt gegenüber dem Jugendhilfeausschuss.</w:t>
      </w:r>
    </w:p>
    <w:p>
      <w:r>
        <w:t xml:space="preserve">(2) Die Form der Berichterstattung kann in der Satzung des Jugendamtes geregelt werden. Mehrere Verfahrenslotsinnen und Verfahrenslotsen stimmen untereinander ab, wie und von wem die Berichterstattung gemäß Absatz 1 erfolgt.</w:t>
      </w:r>
    </w:p>
    <w:p>
      <w:r>
        <w:rPr>
          <w:color w:val="555555"/>
          <w:sz w:val="17"/>
        </w:rPr>
        <w:t xml:space="preserve">Zitiervorschlag: § 53 BbgKJG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https://recht.nulegal.eu/gesetze/BbgKJG/53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