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BbgKJG (Brandenburg) — Inklusion in der Kinder- und Jugendhilfe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Inklusion im Sinne dieses Gesetzes ist die wirksame und gleichberechtigte Teilhabe in allen Bereichen der Kinder- und Jugendhilfe. Sie geht von der Vielfalt der Menschen aus, ohne einstellungs- und umweltbedingte Barrieren, die sie an einer gleichberechtigten Teilhabe im Sinne des Satzes 1 hindern können und zu einer Benachteiligung führen.</w:t>
      </w:r>
    </w:p>
    <w:p>
      <w:r>
        <w:t xml:space="preserve">(2) Alle Entscheidungen aller Beteiligter in der Kinder- und Jugendhilfe sind darauf auszurichten, dass alle jungen Menschen und ihre Familien gleichen Zugang zu den Angeboten der Träger der öffentlichen und freien Jugendhilfe erhalten.</w:t>
      </w:r>
    </w:p>
    <w:p>
      <w:r>
        <w:rPr>
          <w:color w:val="555555"/>
          <w:sz w:val="17"/>
        </w:rPr>
        <w:t xml:space="preserve">Zitiervorschlag: § 46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