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BbgKJG (Brandenburg) — Begriffsbestimmungen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Ergänzend zu § 7 des Achten Buches Sozialgesetzbuch ist eine Familie im Sinne dieses Gesetzes eine Gemeinschaft, bestehend</w:t>
      </w:r>
    </w:p>
    <w:p>
      <w:r>
        <w:t xml:space="preserve">aus mindestens zwei biologischen oder sozialen Generationen, wobei wenigstens eine Person ein junger Mensch ist, oder</w:t>
      </w:r>
    </w:p>
    <w:p>
      <w:r>
        <w:t xml:space="preserve">aus einer Generation, wobei wenigstens eine Person Kind oder jugendlich und wenigstens eine weitere Person eine volljährige Person ist,</w:t>
      </w:r>
    </w:p>
    <w:p>
      <w:r>
        <w:t xml:space="preserve">die rechtlich miteinander verbunden sind oder sich miteinander verbunden fühlen und entsprechend ihres Alters füreinander sorgen und Verantwortung übernehmen können.</w:t>
      </w:r>
    </w:p>
    <w:p>
      <w:r>
        <w:t xml:space="preserve">(2) Träger der öffentlichen Jugendhilfe im Sinne dieses Gesetzes sind das Land Brandenburg als überörtlicher Träger der Jugendhilfe, vertreten durch die oberste Landesjugendbehörde gemäß § 103 Absatz 2, und die örtlichen Träger der öffentlichen Jugendhilfe gemäß § 124.</w:t>
      </w:r>
    </w:p>
    <w:p>
      <w:r>
        <w:t xml:space="preserve">(3) Dieses Gesetz gilt auch für gewerbliche Träger, die Leistungen im Sinne von § 2 Absatz 2 des Achten Buches Sozialgesetzbuch erbringen. Sie sind wie Träger der Jugendhilfe zu behandeln, wenn sie die Voraussetzungen gemäß § 75 Absatz 1 Nummer 1, 3 und 4 des Achten Buches Sozialgesetzbuch erfüllen.</w:t>
      </w:r>
    </w:p>
    <w:p>
      <w:r>
        <w:t xml:space="preserve">(4) Schulen im Sinne dieses Gesetzes sind Einrichtungen im Sinne des § 2 Nummer 1 bis 3 des Brandenburgischen Schulgesetzes.</w:t>
      </w:r>
    </w:p>
    <w:p>
      <w:r>
        <w:rPr>
          <w:color w:val="555555"/>
          <w:sz w:val="17"/>
        </w:rPr>
        <w:t xml:space="preserve">Zitiervorschlag: § 3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