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143 BbgKJG (Brandenburg) — Datenschutz</w:t>
      </w:r>
    </w:p>
    <w:p>
      <w:r>
        <w:rPr>
          <w:color w:val="555555"/>
          <w:sz w:val="18"/>
        </w:rPr>
        <w:t xml:space="preserve">Brandenburgisches Kinder- und Jugendgesetz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Datenschutzrechtliche Bestimmungen richten sich nach der Verordnung ( EU ) 2016/679 des Europäischen Parlaments und des Rates vom 27. April 2016 zum Schutz natürlicher Personen bei der Verarbeitung personenbezogener Daten, zum freien Datenverkehr und zur Aufhebung der Richtlinie 95/46/ EG ). Der Sozialdatenschutz richtet sich zudem nach § 35 Absatz 1 und 2 des Ersten Buches Sozialgesetzbuch, nach den §§ 61 bis 68 und § 72a Absatz 5 und 6 des Achten Buches Sozialgesetzbuch und den §§ 67 bis 85a des Zehnten Buches Sozialgesetzbuch. Soweit eine Datenverarbeitung nach diesem Gesetz nicht geregelt ist, finden ergänzend die allgemeinen datenschutzrechtlichen Vorschriften Anwendung.</w:t>
      </w:r>
    </w:p>
    <w:p>
      <w:r>
        <w:rPr>
          <w:color w:val="555555"/>
          <w:sz w:val="17"/>
        </w:rPr>
        <w:t xml:space="preserve">Zitiervorschlag: § 143 BbgKJG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https://recht.nulegal.eu/gesetze/BbgKJG/143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