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BbgKJG (Brandenburg) — Nachholen einer Beteiligung und Beschwerdemöglichkeiten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Ist es wegen Eilbedürftigkeit nicht möglich, Kinder und Jugendliche vor einer Entscheidung gemäß § 11 zu beteiligen, soll die Entscheidung so getroffen werden, dass sie anschließend noch angepasst werden kann. Dies gilt auch für die Ausgestaltung von Maßnahmen.</w:t>
      </w:r>
    </w:p>
    <w:p>
      <w:r>
        <w:t xml:space="preserve">(2) Ist eine Beteiligung gemäß § 11 unterblieben, ist eine adäquate Beteiligung mit dem Ziel, erforderliche Änderungen vorzunehmen, nachzuholen.</w:t>
      </w:r>
    </w:p>
    <w:p>
      <w:r>
        <w:t xml:space="preserve">(3) Beschwerden über eine unterlassene oder unzureichend erfolgte Beteiligung können an die Ombudsstellen nach § 43 gerichtet werden.</w:t>
      </w:r>
    </w:p>
    <w:p>
      <w:r>
        <w:rPr>
          <w:color w:val="555555"/>
          <w:sz w:val="17"/>
        </w:rPr>
        <w:t xml:space="preserve">Zitiervorschlag: § 13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