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121 BbgKJG (Brandenburg) — Weisungsungebundenheit und ressortübergreifende Tätigkeit der beauftragten Person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Zur Wahrnehmung der Rechte von jungen Menschen und als deren Interessenvertretung arbeitet die nach § 120 Absatz 1 beauftragte Person weisungsungebunden.</w:t>
      </w:r>
    </w:p>
    <w:p>
      <w:r>
        <w:t xml:space="preserve">(2) Die beauftragte Person ist verpflichtet, im Interesse der jungen Menschen ressortübergreifend tätig zu sein.</w:t>
      </w:r>
    </w:p>
    <w:p>
      <w:r>
        <w:rPr>
          <w:color w:val="555555"/>
          <w:sz w:val="17"/>
        </w:rPr>
        <w:t xml:space="preserve">Zitiervorschlag: § 121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https://recht.nulegal.eu/gesetze/BbgKJG/121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