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115 BbgKJG (Brandenburg) — Unterausschüsse des Landes- Kinder- und Jugendausschusses</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 Kinder- und Jugendausschuss kann mit einfacher Mehrheit der anwesenden Mitglieder Unterausschüsse bilden, denen stimmberechtigte, beratende und stellvertretende Mitglieder sowie weitere Personen angehören können. In den Unterausschüssen sollen Vertreterinnen und Vertreter der Träger der freien Jugendhilfe und der Träger der öffentlichen Jugendhilfe vertreten sein. Der Landes- Kinder- und Jugendausschuss bestimmt, wie viele stimmberechtigte Mitglieder und weitere beratende Mitglieder gemäß § 112 benannt werden. Die Anzahl der beratenden Mitglieder soll die Anzahl der stimmberechtigten Mitglieder nicht überschreiten. Die vom Landes- Kinder- und Jugendausschuss bestimmten Mitglieder der Unterausschüsse sind im Unterausschuss stimmberechtigt. Personen, die im Verfassungsschutzbericht des Bundes oder eines Landes als extremistisch benannt sind, dürfen nicht in Unterausschüsse berufen werden.</w:t>
      </w:r>
    </w:p>
    <w:p>
      <w:r>
        <w:t xml:space="preserve">(2) In den Unterausschüssen werden die Beschlüsse des Landes- Kinder- und Jugendausschusses vorberaten.</w:t>
      </w:r>
    </w:p>
    <w:p>
      <w:r>
        <w:t xml:space="preserve">(3) Die Unterausschüsse sollen eine thematische Jahresplanung erstellen und diese dem Landes- Kinder- und Jugendausschuss vorlegen. Im Landes- Kinder- und Jugendausschuss wird in jeder Sitzung aus den Unterausschüssen berichtet.</w:t>
      </w:r>
    </w:p>
    <w:p>
      <w:r>
        <w:rPr>
          <w:color w:val="555555"/>
          <w:sz w:val="17"/>
        </w:rPr>
        <w:t xml:space="preserve">Zitiervorschlag: § 115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115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