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111 BbgKJG (Brandenburg) — Stimmberechtigte und stellvertretende stimmberechtigte Mitglieder des Landes- Kinder- und Jugendausschusses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In den Landes- Kinder- und Jugendausschuss entsenden</w:t>
      </w:r>
    </w:p>
    <w:p>
      <w:r>
        <w:t xml:space="preserve">der Zusammenschluss der landesweit tätigen Jugendverbände und kommunalen Jugendringe fünf Mitglieder und deren Stellvertretungen,</w:t>
      </w:r>
    </w:p>
    <w:p>
      <w:r>
        <w:t xml:space="preserve">die LIGA der Spitzenverbände der freien Wohlfahrtspflege fünf Mitglieder und deren Stellvertretungen,</w:t>
      </w:r>
    </w:p>
    <w:p>
      <w:r>
        <w:t xml:space="preserve">der Städte- und Gemeindebund Brandenburg e. V. zwei Mitglieder und deren Stellvertretungen,</w:t>
      </w:r>
    </w:p>
    <w:p>
      <w:r>
        <w:t xml:space="preserve">der Landkreistag Brandenburg e. V. drei Mitglieder und deren Stellvertretungen,</w:t>
      </w:r>
    </w:p>
    <w:p>
      <w:r>
        <w:t xml:space="preserve">die Jugendämter fünf Mitglieder und bis zu dreizehn Stellvertretungen,</w:t>
      </w:r>
    </w:p>
    <w:p>
      <w:r>
        <w:t xml:space="preserve">die Familienverbände im Land Brandenburg und der Landeselternrat je ein Mitglied und deren Stellvertretung,</w:t>
      </w:r>
    </w:p>
    <w:p>
      <w:r>
        <w:t xml:space="preserve">der Landesschülerrat zwei Mitglieder und bis zu fünf Stellvertretungen,</w:t>
      </w:r>
    </w:p>
    <w:p>
      <w:r>
        <w:t xml:space="preserve">der Kinder- und Jugendhilfelandesrat zwei Mitglieder und bis zu fünf Stellvertretungen,</w:t>
      </w:r>
    </w:p>
    <w:p>
      <w:r>
        <w:t xml:space="preserve">der Dachverband der Kinder- und Jugendgremien zwei Mitglieder und bis zu fünf Stellvertretungen,</w:t>
      </w:r>
    </w:p>
    <w:p>
      <w:r>
        <w:t xml:space="preserve">selbstorganisierte Zusammenschlüsse nach § 4a des Achten Buches Sozialgesetzbuch zwei Mitglieder und bis zu fünf Stellvertretungen aus dem Kreis der landesweit tätigen Zusammenschlüsse gemäß § 137,</w:t>
      </w:r>
    </w:p>
    <w:p>
      <w:r>
        <w:t xml:space="preserve">die Hochschulen des Landes Brandenburg gemeinsam ein Mitglied und eine Stellvertretung,</w:t>
      </w:r>
    </w:p>
    <w:p>
      <w:r>
        <w:t xml:space="preserve">der Landeskitaelternbeirat für Kindertagesbetreuung ein Mitglied und eine Stellvertretung,</w:t>
      </w:r>
    </w:p>
    <w:p>
      <w:r>
        <w:t xml:space="preserve">die in der Kinder- und Jugendhilfe des Landes vertretenen Gewerkschaften zwei Mitglieder und deren Stellvertretungen und</w:t>
      </w:r>
    </w:p>
    <w:p>
      <w:r>
        <w:t xml:space="preserve">der Fachverband für Kindertagespflege ein Mitglied und eine Stellvertretung.</w:t>
      </w:r>
    </w:p>
    <w:p>
      <w:r>
        <w:t xml:space="preserve">(2) Kirchen, Glaubensgemeinschaften und freigeistige Verbände können jeweils ein stimmberechtigtes Mitglied entsenden, wenn sie nachweisen, dass sie Angebote und Einrichtungen der Kinder- und Jugendhilfe in mindestens vier Zuständigkeitsbereichen der örtlichen Träger der öffentlichen Jugendhilfe dauerhaft und regelmäßig betreiben und diese Angebote und Einrichtungen nicht bereits durch die in Absatz 1 genannten Organisationen und Verbände vertreten werden. Für die Mitglieder ist jeweils eine Stellvertretung zu benennen.</w:t>
      </w:r>
    </w:p>
    <w:p>
      <w:r>
        <w:t xml:space="preserve">(3) Nach Absatz 1 kann nicht entsendet werden, wer in einem Dienst- oder Angestelltenverhältnis in einer obersten Landesbehörde oder einer Landesoberbehörde tätig ist oder wer nicht das 14. Lebensjahr vollendet hat.</w:t>
      </w:r>
    </w:p>
    <w:p>
      <w:r>
        <w:t xml:space="preserve">(4) Bei den Benennungen und Berufungen ist ein paritätisches Geschlechterverhältnis anzustreben. Wird die nach Satz 1 genannte Benennungsquote nicht erreicht, soll in der konstituierenden Sitzung des Landes- Kinder- und Jugendausschusses beraten werden, ob und wie durch eine Neubenennung die Quote verwirklicht werden kann.</w:t>
      </w:r>
    </w:p>
    <w:p>
      <w:r>
        <w:t xml:space="preserve">(5) Scheidet ein stimmberechtigtes Mitglied aus dem Landes- Kinder- und Jugendausschuss aus oder wird die Entsendung durch die Entsendenden widerrufen oder benennen die in Absatz 1 Genannten ein neues stimmberechtigtes Mitglied, so endet die Mitgliedschaft des bisherigen Mitglieds im Landes- Kinder- und Jugendausschuss. Dies gilt auch für die stellvertretenden stimmberechtigten Mitglieder.</w:t>
      </w:r>
    </w:p>
    <w:p>
      <w:r>
        <w:rPr>
          <w:color w:val="555555"/>
          <w:sz w:val="17"/>
        </w:rPr>
        <w:t xml:space="preserve">Zitiervorschlag: § 111 BbgKJG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https://recht.nulegal.eu/gesetze/BbgKJG/111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